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2282"/>
        <w:gridCol w:w="1915"/>
        <w:gridCol w:w="1915"/>
        <w:gridCol w:w="1916"/>
        <w:tblGridChange w:id="0">
          <w:tblGrid>
            <w:gridCol w:w="1548"/>
            <w:gridCol w:w="2282"/>
            <w:gridCol w:w="1915"/>
            <w:gridCol w:w="1915"/>
            <w:gridCol w:w="19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  <w:t xml:space="preserve">4 comments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&lt;</w:t>
            </w:r>
            <w:r w:rsidDel="00000000" w:rsidR="00000000" w:rsidRPr="00000000">
              <w:rPr>
                <w:rtl w:val="0"/>
              </w:rPr>
              <w:t xml:space="preserve">3 comments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&lt;</w:t>
            </w:r>
            <w:r w:rsidDel="00000000" w:rsidR="00000000" w:rsidRPr="00000000">
              <w:rPr>
                <w:rtl w:val="0"/>
              </w:rPr>
              <w:t xml:space="preserve">2 comments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&lt;</w:t>
            </w:r>
            <w:r w:rsidDel="00000000" w:rsidR="00000000" w:rsidRPr="00000000">
              <w:rPr>
                <w:rtl w:val="0"/>
              </w:rPr>
              <w:t xml:space="preserve">1 comments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Contributions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Contributions are original, insightful and move the conversation forward in an invigorating direction.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Contributions are somewhat original or insightful. Moves convo along in a productive way.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Contributions might be repetitive or less original/insightful, but keep convo going.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Comments repeat other remarks or are otherwise clearly speaking for the sake of saying something out loud.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Thoughtful Responses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Comments/ questions connect and respond to other student comments. Does not repeat the ideas expressed by others but expands upon them to further the discourse.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Comments/ questions respond to other student comments without repeating them, and connect to those comments somewhat.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Comments/ questions respond to other student comments without repeating them, but connection to other comments is weak.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Repeats another student’s comment or simply agrees or disagrees with that comment without a substantive response.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Use of specific evidence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Frequently cites examples and DQs from the text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Regularly cites examples and DQs from the text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Occasionally cites evidence from the text.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Rarely references anything specific from the text at 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Makes connections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Makes frequent connections between the subject and  texts from class or other sources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Makes some connections between the subject and  texts from class or other sources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Makes a few connections between the subject and  texts from class or other sources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Does not make connections between the subject and  texts from class or other sources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Behavior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Polite and respectful; engaged with the group; attentive to others; gestures &amp; tone are appropriate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Mostly polite and respectful, engaged, and attentive.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Occasionally inattentive or impolite; may appear disengaged may attempt to flag down classmates like a taxi in order to get called 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Frequently inattentive , impolite, &amp;  disengaged OR overly aggressive attempts to get called on/ attempts to dominate the conversation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Use of time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Respects the pace of the conversation; doesn’t monopolize; comments are appropriate length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Most comments are appropriate length/use of time; occasional comment may be too long or short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  <w:t xml:space="preserve">A tendency to monopolize the convo, disrupts pace multiple times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Monopolizes the conversation; unnecessarily long comments; doesn’t respect pace of convo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